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3A3" w14:textId="0E228A12" w:rsidR="00006D73" w:rsidRDefault="00006D73" w:rsidP="007C2557">
      <w:pPr>
        <w:jc w:val="right"/>
        <w:rPr>
          <w:b/>
          <w:bCs/>
          <w:u w:val="single"/>
        </w:rPr>
      </w:pPr>
      <w:r w:rsidRPr="00006D73">
        <w:rPr>
          <w:b/>
          <w:bCs/>
          <w:color w:val="E97132" w:themeColor="accent2"/>
          <w:sz w:val="36"/>
          <w:szCs w:val="36"/>
        </w:rPr>
        <w:t>THE ORPINGTON &amp; BROMLEY GATEWAY CLUB</w:t>
      </w:r>
      <w:r w:rsidRPr="00006D73">
        <w:rPr>
          <w:b/>
          <w:bCs/>
          <w:sz w:val="36"/>
          <w:szCs w:val="36"/>
        </w:rPr>
        <w:br/>
        <w:t>(Including The Scadbury Centre)</w:t>
      </w:r>
      <w:r w:rsidRPr="00006D73">
        <w:rPr>
          <w:b/>
          <w:bCs/>
          <w:color w:val="C00000"/>
          <w:sz w:val="36"/>
          <w:szCs w:val="36"/>
        </w:rPr>
        <w:br/>
      </w:r>
      <w:r w:rsidRPr="00006D73">
        <w:rPr>
          <w:b/>
          <w:bCs/>
        </w:rPr>
        <w:br/>
      </w:r>
      <w:r w:rsidR="007C2557">
        <w:rPr>
          <w:b/>
          <w:bCs/>
          <w:u w:val="single"/>
        </w:rPr>
        <w:t>DISCIPLINARY</w:t>
      </w:r>
      <w:r w:rsidRPr="00006D73">
        <w:rPr>
          <w:b/>
          <w:bCs/>
          <w:u w:val="single"/>
        </w:rPr>
        <w:t xml:space="preserve"> POLICY</w:t>
      </w:r>
    </w:p>
    <w:p w14:paraId="5D6CDA89" w14:textId="29B204B0" w:rsidR="00006D73" w:rsidRDefault="00006D73" w:rsidP="00006D73">
      <w:pPr>
        <w:pBdr>
          <w:bottom w:val="single" w:sz="6" w:space="1" w:color="auto"/>
        </w:pBdr>
        <w:rPr>
          <w:i/>
          <w:iCs/>
        </w:rPr>
      </w:pPr>
      <w:r w:rsidRPr="00006D73">
        <w:rPr>
          <w:i/>
          <w:iCs/>
        </w:rPr>
        <w:t>This version – April 2025</w:t>
      </w:r>
      <w:r w:rsidRPr="00006D73">
        <w:rPr>
          <w:i/>
          <w:iCs/>
        </w:rPr>
        <w:br/>
        <w:t>Next review – April 2026</w:t>
      </w:r>
      <w:r>
        <w:rPr>
          <w:i/>
          <w:iCs/>
        </w:rPr>
        <w:br/>
      </w:r>
    </w:p>
    <w:p w14:paraId="58157050" w14:textId="77777777" w:rsidR="007C2557" w:rsidRPr="007C2557" w:rsidRDefault="00006D73" w:rsidP="007C2557">
      <w:pPr>
        <w:rPr>
          <w:b/>
          <w:bCs/>
        </w:rPr>
      </w:pPr>
      <w:r>
        <w:br/>
      </w:r>
      <w:r w:rsidR="007C2557" w:rsidRPr="007C2557">
        <w:rPr>
          <w:b/>
          <w:bCs/>
        </w:rPr>
        <w:t>1. PURPOSE AND SCOPE</w:t>
      </w:r>
    </w:p>
    <w:p w14:paraId="2F786950" w14:textId="6E0DC97C" w:rsidR="007C2557" w:rsidRDefault="007C2557" w:rsidP="007C2557">
      <w:r>
        <w:t>The Orpington &amp; Bromley Gateway Club (ORB)</w:t>
      </w:r>
      <w:r>
        <w:t xml:space="preserve"> aim to maintain standards of individual performance and conduct. This procedure sets out</w:t>
      </w:r>
      <w:r>
        <w:t xml:space="preserve"> </w:t>
      </w:r>
      <w:r>
        <w:t>the action that will be taken when those standards fall below what is reasonably required of you.</w:t>
      </w:r>
    </w:p>
    <w:p w14:paraId="396CFBAD" w14:textId="77777777" w:rsidR="007C2557" w:rsidRPr="007C2557" w:rsidRDefault="007C2557" w:rsidP="007C2557">
      <w:pPr>
        <w:rPr>
          <w:b/>
          <w:bCs/>
        </w:rPr>
      </w:pPr>
      <w:r w:rsidRPr="007C2557">
        <w:rPr>
          <w:b/>
          <w:bCs/>
        </w:rPr>
        <w:t>2. PRINCIPLES</w:t>
      </w:r>
    </w:p>
    <w:p w14:paraId="039AAE82" w14:textId="6F58A8AA" w:rsidR="007C2557" w:rsidRDefault="007C2557" w:rsidP="007C2557">
      <w:r>
        <w:t>2.1. The procedure is designed to establish the facts quickly and to deal consistently with disciplinary</w:t>
      </w:r>
      <w:r>
        <w:t xml:space="preserve"> </w:t>
      </w:r>
      <w:r>
        <w:t>issues. No disciplinary action will be taken until the matter has been properly investigated,</w:t>
      </w:r>
      <w:r>
        <w:t xml:space="preserve"> </w:t>
      </w:r>
      <w:r>
        <w:t>although suspension can be implemented if this is felt to be a safeguarding necessity.</w:t>
      </w:r>
    </w:p>
    <w:p w14:paraId="150E0525" w14:textId="739F5D6D" w:rsidR="007C2557" w:rsidRDefault="007C2557" w:rsidP="007C2557">
      <w:r>
        <w:t xml:space="preserve">2.2. At every stage you will be advised of the nature of the </w:t>
      </w:r>
      <w:r>
        <w:t>complaint and</w:t>
      </w:r>
      <w:r>
        <w:t xml:space="preserve"> be given the opportunity to</w:t>
      </w:r>
      <w:r>
        <w:t xml:space="preserve"> </w:t>
      </w:r>
      <w:r>
        <w:t>state your case.</w:t>
      </w:r>
    </w:p>
    <w:p w14:paraId="42EE1996" w14:textId="3F94E11C" w:rsidR="007C2557" w:rsidRDefault="007C2557" w:rsidP="007C2557">
      <w:r>
        <w:t>2.3. You will not be dismissed for a first breach of discipline except in the case of gross misconduct,</w:t>
      </w:r>
      <w:r>
        <w:t xml:space="preserve"> </w:t>
      </w:r>
      <w:r>
        <w:t>when the penalty will normally be dismissal without notice and without pay in lieu of notice.</w:t>
      </w:r>
    </w:p>
    <w:p w14:paraId="4358674F" w14:textId="77777777" w:rsidR="007C2557" w:rsidRDefault="007C2557" w:rsidP="007C2557">
      <w:r>
        <w:t>2.4. You have the right to appeal against any disciplinary action taken against you.</w:t>
      </w:r>
    </w:p>
    <w:p w14:paraId="3180170B" w14:textId="77777777" w:rsidR="007C2557" w:rsidRDefault="007C2557" w:rsidP="007C2557">
      <w:r>
        <w:t>2.5. The procedure may be implemented at any stage if your alleged misconduct warrants such action.</w:t>
      </w:r>
    </w:p>
    <w:p w14:paraId="2D343CC9" w14:textId="15F1997A" w:rsidR="007C2557" w:rsidRDefault="007C2557" w:rsidP="007C2557">
      <w:r>
        <w:t>2.6. If you request it, you have the right to be accompanied at a disciplinary hearing by a</w:t>
      </w:r>
      <w:r w:rsidR="00EA369F">
        <w:t>n appropriate</w:t>
      </w:r>
      <w:r>
        <w:t xml:space="preserve"> colleague,</w:t>
      </w:r>
      <w:r>
        <w:t xml:space="preserve"> </w:t>
      </w:r>
      <w:r>
        <w:t>friend, family member and/or trade union official.</w:t>
      </w:r>
    </w:p>
    <w:p w14:paraId="480CC921" w14:textId="77777777" w:rsidR="007C2557" w:rsidRPr="007C2557" w:rsidRDefault="007C2557" w:rsidP="007C2557">
      <w:pPr>
        <w:rPr>
          <w:b/>
          <w:bCs/>
        </w:rPr>
      </w:pPr>
      <w:r w:rsidRPr="007C2557">
        <w:rPr>
          <w:b/>
          <w:bCs/>
        </w:rPr>
        <w:t>3. THE PROCEDURE</w:t>
      </w:r>
    </w:p>
    <w:p w14:paraId="058ACF75" w14:textId="4488E0B2" w:rsidR="007C2557" w:rsidRDefault="007C2557" w:rsidP="007C2557">
      <w:r>
        <w:t>At all stages of the procedure if the allegation suggests that the worker may have acted in a manner</w:t>
      </w:r>
      <w:r>
        <w:t xml:space="preserve"> </w:t>
      </w:r>
      <w:r>
        <w:t>amounting to gross misconduct the charity has the authority to send the worker home suspended on full</w:t>
      </w:r>
      <w:r>
        <w:t xml:space="preserve"> </w:t>
      </w:r>
      <w:r>
        <w:t>pay pending an investigation.</w:t>
      </w:r>
    </w:p>
    <w:p w14:paraId="39457E57" w14:textId="77777777" w:rsidR="007C2557" w:rsidRDefault="007C2557" w:rsidP="007C2557">
      <w:r>
        <w:t>3.1 Stage 1 – Informal Discussions</w:t>
      </w:r>
    </w:p>
    <w:p w14:paraId="1439B813" w14:textId="52EC9ED4" w:rsidR="007C2557" w:rsidRDefault="007C2557" w:rsidP="007C2557">
      <w:r>
        <w:lastRenderedPageBreak/>
        <w:t>Before taking formal disciplinary action, your line manager will make every effort to resolve the</w:t>
      </w:r>
      <w:r>
        <w:t xml:space="preserve"> </w:t>
      </w:r>
      <w:r>
        <w:t>matter by informal discussions with you. Only where this fails to bring about the desired</w:t>
      </w:r>
      <w:r>
        <w:t xml:space="preserve"> </w:t>
      </w:r>
      <w:r>
        <w:t>improvement should the formal disciplinary procedure be implemented.</w:t>
      </w:r>
    </w:p>
    <w:p w14:paraId="05575D44" w14:textId="77777777" w:rsidR="007C2557" w:rsidRDefault="007C2557" w:rsidP="007C2557">
      <w:r>
        <w:t xml:space="preserve"> 3.2 Stage 2 – Written Warning</w:t>
      </w:r>
    </w:p>
    <w:p w14:paraId="20F83674" w14:textId="73FBE7E2" w:rsidR="007C2557" w:rsidRDefault="007C2557" w:rsidP="007C2557">
      <w:r>
        <w:t>If there is insufficient improvement in conduct or performance, or if a further disciplinary offence</w:t>
      </w:r>
      <w:r>
        <w:t xml:space="preserve"> </w:t>
      </w:r>
      <w:r>
        <w:t xml:space="preserve">occurs, the employee will be given a written warning. Such warnings will be </w:t>
      </w:r>
      <w:r w:rsidR="00EA369F">
        <w:t>recorded but</w:t>
      </w:r>
      <w:r>
        <w:t xml:space="preserve"> </w:t>
      </w:r>
      <w:r>
        <w:t>disregarded after 6 months of satisfactory service. The employee will also be informed that a final</w:t>
      </w:r>
      <w:r>
        <w:t xml:space="preserve"> </w:t>
      </w:r>
      <w:r>
        <w:t>written warning may be considered if there is no sustained satisfactory improvement or change</w:t>
      </w:r>
      <w:r>
        <w:t xml:space="preserve"> </w:t>
      </w:r>
      <w:r>
        <w:t>within that time. Where the offence is sufficiently serious, for example because it is having, or is</w:t>
      </w:r>
      <w:r>
        <w:t xml:space="preserve"> </w:t>
      </w:r>
      <w:r>
        <w:t xml:space="preserve">likely to have, a serious harmful effect on the organisation or a member of </w:t>
      </w:r>
      <w:r>
        <w:t>ORB</w:t>
      </w:r>
      <w:r>
        <w:t>, it may be</w:t>
      </w:r>
      <w:r>
        <w:t xml:space="preserve"> </w:t>
      </w:r>
      <w:r>
        <w:t>justifiable to move directly to a final written warning. This will be given by the Chair of the Trustee</w:t>
      </w:r>
      <w:r>
        <w:t xml:space="preserve">s </w:t>
      </w:r>
      <w:r>
        <w:t>or his/her chosen representative.</w:t>
      </w:r>
    </w:p>
    <w:p w14:paraId="5B2C8C55" w14:textId="77777777" w:rsidR="007C2557" w:rsidRDefault="007C2557" w:rsidP="007C2557">
      <w:r>
        <w:t>3.3 Stage 3 – Final Written Warning</w:t>
      </w:r>
    </w:p>
    <w:p w14:paraId="1C6198DD" w14:textId="57459663" w:rsidR="007C2557" w:rsidRDefault="007C2557" w:rsidP="007C2557">
      <w:r>
        <w:t>If the offence is serious, or there is no improvement in conduct or performance, or if a further</w:t>
      </w:r>
      <w:r>
        <w:t xml:space="preserve"> </w:t>
      </w:r>
      <w:r>
        <w:t>offence of a similar kind occurs, a final written warning will be given which will include the reason</w:t>
      </w:r>
      <w:r>
        <w:t xml:space="preserve"> </w:t>
      </w:r>
      <w:r>
        <w:t>for the warning and a note that if no improvement results within 3 months, action as set out below</w:t>
      </w:r>
      <w:r>
        <w:t xml:space="preserve"> </w:t>
      </w:r>
      <w:r>
        <w:t>will be taken.</w:t>
      </w:r>
    </w:p>
    <w:p w14:paraId="673228C7" w14:textId="77777777" w:rsidR="007C2557" w:rsidRDefault="007C2557" w:rsidP="007C2557">
      <w:r>
        <w:t>3.4 Dismissal (with notice)</w:t>
      </w:r>
    </w:p>
    <w:p w14:paraId="76EA785A" w14:textId="5AF888B5" w:rsidR="007C2557" w:rsidRDefault="007C2557" w:rsidP="007C2557">
      <w:r>
        <w:t>If there is insufficient improvement after the period notified in Stage 3 you will be dismissed with</w:t>
      </w:r>
      <w:r>
        <w:t xml:space="preserve"> </w:t>
      </w:r>
      <w:r>
        <w:t>the appropriate notice, which will state the reasons for the dismissal. This action will be</w:t>
      </w:r>
      <w:r>
        <w:t xml:space="preserve"> </w:t>
      </w:r>
      <w:r>
        <w:t xml:space="preserve">authorised by the full </w:t>
      </w:r>
      <w:r w:rsidR="00EA369F">
        <w:t>Board of Trustees</w:t>
      </w:r>
      <w:r>
        <w:t>.</w:t>
      </w:r>
    </w:p>
    <w:p w14:paraId="60C465DF" w14:textId="2E2D00DD" w:rsidR="007C2557" w:rsidRDefault="007C2557" w:rsidP="007C2557">
      <w:r>
        <w:t>If an employee faces dismissal – or action short of dismissal such as loss of pay – the minimum</w:t>
      </w:r>
      <w:r>
        <w:t xml:space="preserve"> </w:t>
      </w:r>
      <w:r>
        <w:t>statutory procedure will be followed. This involves:</w:t>
      </w:r>
    </w:p>
    <w:p w14:paraId="69850C1A" w14:textId="77777777" w:rsidR="007C2557" w:rsidRDefault="007C2557" w:rsidP="007C2557">
      <w:r>
        <w:t>Step 1: a written note to the employee setting out the allegation and the basis for it</w:t>
      </w:r>
    </w:p>
    <w:p w14:paraId="302E3775" w14:textId="77777777" w:rsidR="007C2557" w:rsidRDefault="007C2557" w:rsidP="007C2557">
      <w:r>
        <w:t>Step 2: a meeting to consider and discuss the allegation</w:t>
      </w:r>
    </w:p>
    <w:p w14:paraId="78126090" w14:textId="77777777" w:rsidR="007C2557" w:rsidRDefault="007C2557" w:rsidP="007C2557">
      <w:r>
        <w:t>Step 3: a right of appeal including an appeal meeting.</w:t>
      </w:r>
    </w:p>
    <w:p w14:paraId="740F6514" w14:textId="77777777" w:rsidR="007C2557" w:rsidRDefault="007C2557" w:rsidP="007C2557">
      <w:r>
        <w:t>The employee will be reminded of their right to be accompanied.</w:t>
      </w:r>
    </w:p>
    <w:p w14:paraId="0DA59858" w14:textId="77777777" w:rsidR="007C2557" w:rsidRPr="007C2557" w:rsidRDefault="007C2557" w:rsidP="007C2557">
      <w:pPr>
        <w:rPr>
          <w:b/>
          <w:bCs/>
        </w:rPr>
      </w:pPr>
      <w:r w:rsidRPr="007C2557">
        <w:rPr>
          <w:b/>
          <w:bCs/>
        </w:rPr>
        <w:t>4. GROSS MISCONDUCT (DISMISSAL WITHOUT NOTICE)</w:t>
      </w:r>
    </w:p>
    <w:p w14:paraId="6778F68B" w14:textId="164094E5" w:rsidR="007C2557" w:rsidRDefault="007C2557" w:rsidP="007C2557">
      <w:r>
        <w:t>4.1 If, after investigation, it is confirmed that an employee has committed an offence such as is listed</w:t>
      </w:r>
      <w:r>
        <w:t xml:space="preserve"> </w:t>
      </w:r>
      <w:r>
        <w:t>in 4.2 (the list is not exhaustive) the normal consequence will be dismissal without notice. This</w:t>
      </w:r>
      <w:r>
        <w:t xml:space="preserve"> </w:t>
      </w:r>
      <w:r>
        <w:t>will be authorised by the</w:t>
      </w:r>
      <w:r w:rsidR="00EA369F">
        <w:t xml:space="preserve"> Board of Trustees.</w:t>
      </w:r>
    </w:p>
    <w:p w14:paraId="20A06C8E" w14:textId="514CC4F6" w:rsidR="007C2557" w:rsidRDefault="007C2557" w:rsidP="007C2557">
      <w:r>
        <w:t>4.2 Theft, damage to company property, fraud, or any other act of dishonesty, a serious breach of the</w:t>
      </w:r>
      <w:r>
        <w:t xml:space="preserve"> </w:t>
      </w:r>
      <w:r>
        <w:t xml:space="preserve">Equal Opportunities Policy or of the Safeguarding Policy, incapacity for </w:t>
      </w:r>
      <w:r>
        <w:lastRenderedPageBreak/>
        <w:t>work due to being under</w:t>
      </w:r>
      <w:r>
        <w:t xml:space="preserve"> </w:t>
      </w:r>
      <w:r>
        <w:t>the influence of alcohol or illegal drugs, physical assault, gross insubordination, breach of</w:t>
      </w:r>
      <w:r>
        <w:t xml:space="preserve"> </w:t>
      </w:r>
      <w:r>
        <w:t xml:space="preserve">confidentiality, refusal to comply with management instructions, conduct likely to bring </w:t>
      </w:r>
      <w:r>
        <w:t xml:space="preserve">ORB </w:t>
      </w:r>
      <w:r>
        <w:t>into disrepute, any deliberate acts of harassment or bullying. This list is not exhaustive, and</w:t>
      </w:r>
      <w:r>
        <w:t xml:space="preserve"> </w:t>
      </w:r>
      <w:r>
        <w:t>there may be other instances where an employee’s behaviour will be treated as Gross</w:t>
      </w:r>
      <w:r>
        <w:t xml:space="preserve"> </w:t>
      </w:r>
      <w:r>
        <w:t>Misconduct.</w:t>
      </w:r>
    </w:p>
    <w:p w14:paraId="45714D8A" w14:textId="77777777" w:rsidR="007C2557" w:rsidRPr="007C2557" w:rsidRDefault="007C2557" w:rsidP="007C2557">
      <w:pPr>
        <w:rPr>
          <w:b/>
          <w:bCs/>
        </w:rPr>
      </w:pPr>
      <w:r w:rsidRPr="007C2557">
        <w:rPr>
          <w:b/>
          <w:bCs/>
        </w:rPr>
        <w:t>5. APPEALS</w:t>
      </w:r>
    </w:p>
    <w:p w14:paraId="26B88BB0" w14:textId="4FA76BA2" w:rsidR="007C2557" w:rsidRDefault="007C2557" w:rsidP="007C2557">
      <w:r>
        <w:t>If you wish to appeal against any disciplinary decision</w:t>
      </w:r>
      <w:r>
        <w:t>,</w:t>
      </w:r>
      <w:r>
        <w:t xml:space="preserve"> you must do so in writing:-</w:t>
      </w:r>
    </w:p>
    <w:p w14:paraId="10D3AFA3" w14:textId="69D87B6B" w:rsidR="007C2557" w:rsidRDefault="007C2557" w:rsidP="007C2557">
      <w:r>
        <w:t xml:space="preserve">To the Chair of the </w:t>
      </w:r>
      <w:r w:rsidR="00EA369F">
        <w:t xml:space="preserve">Board of </w:t>
      </w:r>
      <w:r>
        <w:t>Trustee</w:t>
      </w:r>
      <w:r w:rsidR="00EA369F">
        <w:t>s</w:t>
      </w:r>
      <w:r>
        <w:t xml:space="preserve"> where the appeal is against an oral warning,</w:t>
      </w:r>
    </w:p>
    <w:p w14:paraId="53287953" w14:textId="16051925" w:rsidR="007C2557" w:rsidRDefault="007C2557" w:rsidP="007C2557">
      <w:r>
        <w:t xml:space="preserve">To the </w:t>
      </w:r>
      <w:r w:rsidR="00EA369F">
        <w:t>Board of Trustees</w:t>
      </w:r>
      <w:r>
        <w:t xml:space="preserve"> where the appeal is against a written warning or dismissal within</w:t>
      </w:r>
      <w:r>
        <w:t xml:space="preserve"> </w:t>
      </w:r>
      <w:r>
        <w:t>five working days of the decision being communicated to you. Where the appeal is against a written</w:t>
      </w:r>
      <w:r>
        <w:t xml:space="preserve"> </w:t>
      </w:r>
      <w:r>
        <w:t xml:space="preserve">warning or dismissal, this will be heard by up to </w:t>
      </w:r>
      <w:r w:rsidR="00EA369F">
        <w:t>three</w:t>
      </w:r>
      <w:r>
        <w:t xml:space="preserve"> members of the </w:t>
      </w:r>
      <w:r w:rsidR="00EA369F">
        <w:t>Board of Trustees</w:t>
      </w:r>
      <w:r>
        <w:t xml:space="preserve"> who</w:t>
      </w:r>
      <w:r>
        <w:t xml:space="preserve"> </w:t>
      </w:r>
      <w:r>
        <w:t>have not been directly involved in the decision which is the subject of the appeal. The decision of the</w:t>
      </w:r>
      <w:r>
        <w:t xml:space="preserve"> </w:t>
      </w:r>
      <w:r>
        <w:t>appeal hearing will be final.</w:t>
      </w:r>
    </w:p>
    <w:p w14:paraId="3D303709" w14:textId="44DC5151" w:rsidR="00006D73" w:rsidRDefault="00006D73" w:rsidP="007C2557">
      <w:pPr>
        <w:rPr>
          <w:b/>
          <w:bCs/>
        </w:rPr>
      </w:pPr>
      <w:r w:rsidRPr="00006D73">
        <w:rPr>
          <w:b/>
          <w:bCs/>
        </w:rPr>
        <w:t>Useful contacts</w:t>
      </w:r>
    </w:p>
    <w:p w14:paraId="56BB7180" w14:textId="5D96A1A8" w:rsidR="00006D73" w:rsidRPr="00006D73" w:rsidRDefault="00006D73" w:rsidP="00006D73">
      <w:r w:rsidRPr="00006D73">
        <w:t xml:space="preserve">Andrew Muckle – CEO – </w:t>
      </w:r>
      <w:hyperlink r:id="rId7" w:history="1">
        <w:r w:rsidRPr="00006D73">
          <w:rPr>
            <w:rStyle w:val="Hyperlink"/>
          </w:rPr>
          <w:t>Andrew.muckle@orbgateway.club/07759 440 310</w:t>
        </w:r>
      </w:hyperlink>
    </w:p>
    <w:p w14:paraId="6F6C4C93" w14:textId="6C62F2C4" w:rsidR="00006D73" w:rsidRPr="00006D73" w:rsidRDefault="00006D73" w:rsidP="00006D73">
      <w:r w:rsidRPr="00006D73">
        <w:t xml:space="preserve">Damian Cobbold – Chairman of Trustees – </w:t>
      </w:r>
      <w:hyperlink r:id="rId8" w:history="1">
        <w:r w:rsidRPr="00006D73">
          <w:rPr>
            <w:rStyle w:val="Hyperlink"/>
          </w:rPr>
          <w:t>chairman@orbgateway.club</w:t>
        </w:r>
      </w:hyperlink>
    </w:p>
    <w:p w14:paraId="57CDAC6E" w14:textId="241768D6" w:rsidR="00006D73" w:rsidRPr="00006D73" w:rsidRDefault="00006D73" w:rsidP="00006D73">
      <w:pPr>
        <w:pBdr>
          <w:bottom w:val="single" w:sz="6" w:space="1" w:color="auto"/>
        </w:pBdr>
      </w:pPr>
    </w:p>
    <w:p w14:paraId="5286B0BC" w14:textId="2801C956" w:rsidR="00006D73" w:rsidRDefault="00006D73" w:rsidP="00006D73">
      <w:r>
        <w:t>DOCUMENT ENDS</w:t>
      </w:r>
    </w:p>
    <w:sectPr w:rsidR="00006D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4D27" w14:textId="77777777" w:rsidR="00DA563B" w:rsidRDefault="00DA563B" w:rsidP="00006D73">
      <w:pPr>
        <w:spacing w:after="0" w:line="240" w:lineRule="auto"/>
      </w:pPr>
      <w:r>
        <w:separator/>
      </w:r>
    </w:p>
  </w:endnote>
  <w:endnote w:type="continuationSeparator" w:id="0">
    <w:p w14:paraId="4DD93A68" w14:textId="77777777" w:rsidR="00DA563B" w:rsidRDefault="00DA563B" w:rsidP="000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3EE3" w14:textId="18F37A4C" w:rsidR="00006D73" w:rsidRPr="00006D73" w:rsidRDefault="00006D73" w:rsidP="00006D73">
    <w:pPr>
      <w:pStyle w:val="Footer"/>
      <w:jc w:val="right"/>
      <w:rPr>
        <w:color w:val="E97132" w:themeColor="accent2"/>
      </w:rPr>
    </w:pPr>
    <w:r w:rsidRPr="00006D73">
      <w:rPr>
        <w:color w:val="E97132" w:themeColor="accent2"/>
      </w:rPr>
      <w:t xml:space="preserve">The Orpington &amp; Bromley Gateway Club – </w:t>
    </w:r>
    <w:r w:rsidR="007C2557">
      <w:rPr>
        <w:color w:val="E97132" w:themeColor="accent2"/>
      </w:rPr>
      <w:t>Disciplinary Policy</w:t>
    </w:r>
    <w:r w:rsidRPr="00006D73">
      <w:rPr>
        <w:color w:val="E97132" w:themeColor="accent2"/>
      </w:rPr>
      <w:t xml:space="preserve"> –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E8B8" w14:textId="77777777" w:rsidR="00DA563B" w:rsidRDefault="00DA563B" w:rsidP="00006D73">
      <w:pPr>
        <w:spacing w:after="0" w:line="240" w:lineRule="auto"/>
      </w:pPr>
      <w:r>
        <w:separator/>
      </w:r>
    </w:p>
  </w:footnote>
  <w:footnote w:type="continuationSeparator" w:id="0">
    <w:p w14:paraId="3E5B3964" w14:textId="77777777" w:rsidR="00DA563B" w:rsidRDefault="00DA563B" w:rsidP="0000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078"/>
    <w:multiLevelType w:val="multilevel"/>
    <w:tmpl w:val="8AE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C4847"/>
    <w:multiLevelType w:val="multilevel"/>
    <w:tmpl w:val="180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80A93"/>
    <w:multiLevelType w:val="multilevel"/>
    <w:tmpl w:val="8F8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35AC0"/>
    <w:multiLevelType w:val="multilevel"/>
    <w:tmpl w:val="9F2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7279A"/>
    <w:multiLevelType w:val="multilevel"/>
    <w:tmpl w:val="F52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B67D2"/>
    <w:multiLevelType w:val="multilevel"/>
    <w:tmpl w:val="4BF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545E5"/>
    <w:multiLevelType w:val="multilevel"/>
    <w:tmpl w:val="693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7149F"/>
    <w:multiLevelType w:val="multilevel"/>
    <w:tmpl w:val="964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CB7D9E"/>
    <w:multiLevelType w:val="multilevel"/>
    <w:tmpl w:val="B36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33230">
    <w:abstractNumId w:val="0"/>
  </w:num>
  <w:num w:numId="2" w16cid:durableId="2114862505">
    <w:abstractNumId w:val="5"/>
  </w:num>
  <w:num w:numId="3" w16cid:durableId="1408647786">
    <w:abstractNumId w:val="4"/>
  </w:num>
  <w:num w:numId="4" w16cid:durableId="410929969">
    <w:abstractNumId w:val="1"/>
  </w:num>
  <w:num w:numId="5" w16cid:durableId="865026613">
    <w:abstractNumId w:val="6"/>
  </w:num>
  <w:num w:numId="6" w16cid:durableId="43450960">
    <w:abstractNumId w:val="3"/>
  </w:num>
  <w:num w:numId="7" w16cid:durableId="2037189204">
    <w:abstractNumId w:val="8"/>
  </w:num>
  <w:num w:numId="8" w16cid:durableId="1354578814">
    <w:abstractNumId w:val="7"/>
  </w:num>
  <w:num w:numId="9" w16cid:durableId="170663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3"/>
    <w:rsid w:val="00006D73"/>
    <w:rsid w:val="001958FF"/>
    <w:rsid w:val="00275664"/>
    <w:rsid w:val="007C2557"/>
    <w:rsid w:val="00875759"/>
    <w:rsid w:val="00AA1989"/>
    <w:rsid w:val="00BB3EBB"/>
    <w:rsid w:val="00DA563B"/>
    <w:rsid w:val="00E62310"/>
    <w:rsid w:val="00E84A44"/>
    <w:rsid w:val="00E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1C26"/>
  <w15:chartTrackingRefBased/>
  <w15:docId w15:val="{0AC7DD6C-B69F-4E59-BF8A-F5496F3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73"/>
  </w:style>
  <w:style w:type="paragraph" w:styleId="Footer">
    <w:name w:val="footer"/>
    <w:basedOn w:val="Normal"/>
    <w:link w:val="Foot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orbgateway.c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.muckle@orbgateway.club/07759%20440%20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Muckle</dc:creator>
  <cp:keywords/>
  <dc:description/>
  <cp:lastModifiedBy>Andrew Muckle</cp:lastModifiedBy>
  <cp:revision>3</cp:revision>
  <dcterms:created xsi:type="dcterms:W3CDTF">2025-08-06T13:32:00Z</dcterms:created>
  <dcterms:modified xsi:type="dcterms:W3CDTF">2025-08-06T13:35:00Z</dcterms:modified>
</cp:coreProperties>
</file>